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 w:line="288" w:lineRule="auto"/>
        <w:jc w:val="center"/>
      </w:pPr>
      <w:r>
        <w:rPr>
          <w:rFonts w:ascii="Arial" w:hAnsi="Arial"/>
          <w:b/>
          <w:color w:val="1A365D"/>
          <w:sz w:val="34"/>
        </w:rPr>
        <w:t>TEMA 1: LA CONSTITUCIÓN ESPAÑOLA DE 1978: ESTRUCTURA Y CONTENIDO. DERECHOS Y DEBERES FUNDAMENTALES. SU GARANTÍA Y SUSPENSIÓN. EL TRIBUNAL CONSTITUCIONAL. EL DEFENSOR DEL PUEBLO. REFORMA DE LA CONSTITUCIÓN.</w:t>
      </w:r>
    </w:p>
    <w:p>
      <w:pPr>
        <w:spacing w:before="0" w:after="280" w:line="288" w:lineRule="auto"/>
        <w:jc w:val="center"/>
      </w:pPr>
      <w:r>
        <w:rPr>
          <w:rFonts w:ascii="Arial" w:hAnsi="Arial"/>
          <w:b/>
          <w:color w:val="4A5568"/>
          <w:sz w:val="20"/>
        </w:rPr>
        <w:t>Cuerpo General Administrativo de la Administración del Estado · I. Organización del Estado y de la Administración pública</w:t>
      </w:r>
    </w:p>
    <w:p>
      <w:pPr>
        <w:spacing w:before="280" w:after="120" w:line="288" w:lineRule="auto"/>
      </w:pPr>
      <w:r>
        <w:rPr>
          <w:rFonts w:ascii="Arial" w:hAnsi="Arial"/>
          <w:b/>
          <w:color w:val="1A365D"/>
          <w:sz w:val="28"/>
        </w:rPr>
        <w:t>1. Marco Normativo e Introducción</w:t>
      </w:r>
    </w:p>
    <w:p>
      <w:pPr>
        <w:spacing w:before="0" w:after="160" w:line="288" w:lineRule="auto"/>
      </w:pPr>
      <w:r>
        <w:rPr>
          <w:rFonts w:ascii="Arial" w:hAnsi="Arial"/>
          <w:color w:val="2D3748"/>
          <w:sz w:val="22"/>
        </w:rPr>
        <w:t>Marco normativo regulado primordialmente por la Constitucion Espanola de 1978, ratificada por el pueblo espanol el 6 de diciembre de 1978 y publicada en el BOE el 29 de diciembre de 1978. Como norma suprema del ordenamiento juridico espanol, articula la dimension dogmatica de los derechos fundamentales y la dimension organica de los poderes del Estado, complementada en materia de tutela y excepcion por la Ley Organica 4/1981, de 1 de junio, de los estados de alarma, excepcion y sitio.</w:t>
      </w:r>
    </w:p>
    <w:p>
      <w:pPr>
        <w:spacing w:before="280" w:after="120" w:line="288" w:lineRule="auto"/>
      </w:pPr>
      <w:r>
        <w:rPr>
          <w:rFonts w:ascii="Arial" w:hAnsi="Arial"/>
          <w:b/>
          <w:color w:val="1A365D"/>
          <w:sz w:val="28"/>
        </w:rPr>
        <w:t>2. La Constitucion Espanola de 1978: estructura y contenido</w:t>
      </w:r>
    </w:p>
    <w:p>
      <w:pPr>
        <w:spacing w:before="200" w:after="80" w:line="288" w:lineRule="auto"/>
      </w:pPr>
      <w:r>
        <w:rPr>
          <w:rFonts w:ascii="Arial" w:hAnsi="Arial"/>
          <w:b/>
          <w:color w:val="2B6CB0"/>
          <w:sz w:val="24"/>
        </w:rPr>
        <w:t>Genesis, cronologia y caracteres esenciales</w:t>
      </w:r>
    </w:p>
    <w:p>
      <w:pPr>
        <w:spacing w:before="0" w:after="100" w:line="288" w:lineRule="auto"/>
      </w:pPr>
      <w:r>
        <w:rPr>
          <w:rFonts w:ascii="Arial" w:hAnsi="Arial"/>
          <w:color w:val="2D3748"/>
          <w:sz w:val="22"/>
        </w:rPr>
        <w:t>La elaboracion de la Constitucion Espanola culmino un proceso de transicion democratica sustentado en el consenso politico interpartidista.</w:t>
      </w:r>
    </w:p>
    <w:p>
      <w:pPr>
        <w:spacing w:before="0" w:after="100" w:line="288" w:lineRule="auto"/>
      </w:pPr>
      <w:r>
        <w:rPr>
          <w:rFonts w:ascii="Arial" w:hAnsi="Arial"/>
          <w:color w:val="2D3748"/>
          <w:sz w:val="22"/>
        </w:rPr>
        <w:t>Su texto juridico ostenta caracter vinculante inmediato, rigidez reformista y formula de compromiso integrador.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31 de octubre de 1978: aprobacion por los Plenos del Congreso de los Diputados y del Senado.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6 de diciembre de 1978: ratificacion mayoritaria en referendum por el pueblo espanol.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27 de diciembre de 1978: sancion y promulgacion formal por Su Majestad el Rey ante las Cortes Generales.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29 de diciembre de 1978: publicacion simultanea en el Boletin Oficial del Estado y entrada en vigor inmediata.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Caracteristicas tecnicas: escrita, codificada en un texto unico, rigida en su reforma, consensual, derivada y de aplicacion directa.</w:t>
      </w:r>
    </w:p>
    <w:p>
      <w:pPr>
        <w:spacing w:before="120" w:after="160" w:line="276" w:lineRule="auto"/>
        <w:ind w:left="504"/>
        <w:pBdr>
          <w:left w:val="single" w:sz="24" w:space="12" w:color="2B6CB0"/>
        </w:pBdr>
      </w:pPr>
      <w:r>
        <w:rPr>
          <w:rFonts w:ascii="Arial" w:hAnsi="Arial"/>
          <w:b/>
          <w:color w:val="2B6CB0"/>
          <w:sz w:val="21"/>
        </w:rPr>
        <w:t xml:space="preserve">Atención Opositor: </w:t>
      </w:r>
      <w:r>
        <w:rPr>
          <w:rFonts w:ascii="Arial" w:hAnsi="Arial"/>
          <w:i/>
          <w:color w:val="2D3748"/>
          <w:sz w:val="21"/>
        </w:rPr>
        <w:t>Dato clave de examen: La Constitucion entro en vigor el mismo dia de su publicacion oficial en el BOE, no rigiendo la vacatio legis general de veinte dias.</w:t>
      </w:r>
    </w:p>
    <w:p>
      <w:pPr>
        <w:spacing w:before="200" w:after="80" w:line="288" w:lineRule="auto"/>
      </w:pPr>
      <w:r>
        <w:rPr>
          <w:rFonts w:ascii="Arial" w:hAnsi="Arial"/>
          <w:b/>
          <w:color w:val="2B6CB0"/>
          <w:sz w:val="24"/>
        </w:rPr>
        <w:t>Estructura formal y division material del texto</w:t>
      </w:r>
    </w:p>
    <w:p>
      <w:pPr>
        <w:spacing w:before="0" w:after="100" w:line="288" w:lineRule="auto"/>
      </w:pPr>
      <w:r>
        <w:rPr>
          <w:rFonts w:ascii="Arial" w:hAnsi="Arial"/>
          <w:color w:val="2D3748"/>
          <w:sz w:val="22"/>
        </w:rPr>
        <w:t>La Constitucion consta formalmente de un Preambulo, 169 articulos articulados en 11 titulos y diversas disposiciones de cierre.</w:t>
      </w:r>
    </w:p>
    <w:p>
      <w:pPr>
        <w:spacing w:before="0" w:after="100" w:line="288" w:lineRule="auto"/>
      </w:pPr>
      <w:r>
        <w:rPr>
          <w:rFonts w:ascii="Arial" w:hAnsi="Arial"/>
          <w:color w:val="2D3748"/>
          <w:sz w:val="22"/>
        </w:rPr>
        <w:t>Doctrinalmente se escinde en parte dogmatica, definidora de principios y derechos, y parte organica, ordenadora de los poderes estatales.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Preambulo: declaracion solemne sin fuerza juridica vinculante ni caracter articulado.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Titulo Preliminar: articulos 1 al 9 (definicion de Estado, valores, soberania y principios de seguridad juridica).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Titulo I: De los derechos y deberes fundamentales (articulos 10 al 55).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Titulos organicos: Titulo II (Corona, arts. 56-65), Titulo III (Cortes Generales, arts. 66-96), Titulo IV (Gobierno y Administracion, arts. 97-107), Titulo V (Relaciones Gobierno-Cortes, arts. 108-116), Titulo VI (Poder Judicial, arts. 117-127), Titulo VII (Economia y Hacienda, arts. 128-136), Titulo VIII (Organizacion Territorial del Estado, arts. 137-158), Titulo IX (Tribunal Constitucional, arts. 159-165) y Titulo X (Reforma Constitucional, arts. 166-169).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Disposiciones finales de cierre: 4 Disposiciones Adicionales, 9 Disposiciones Transitorias, 1 Disposicion Derogatoria (expresa, tacita y final) y 1 Disposicion Final.</w:t>
      </w:r>
    </w:p>
    <w:p>
      <w:pPr>
        <w:spacing w:before="120" w:after="160" w:line="276" w:lineRule="auto"/>
        <w:ind w:left="504"/>
        <w:pBdr>
          <w:left w:val="single" w:sz="24" w:space="12" w:color="2B6CB0"/>
        </w:pBdr>
      </w:pPr>
      <w:r>
        <w:rPr>
          <w:rFonts w:ascii="Arial" w:hAnsi="Arial"/>
          <w:b/>
          <w:color w:val="2B6CB0"/>
          <w:sz w:val="21"/>
        </w:rPr>
        <w:t xml:space="preserve">Atención Opositor: </w:t>
      </w:r>
      <w:r>
        <w:rPr>
          <w:rFonts w:ascii="Arial" w:hAnsi="Arial"/>
          <w:i/>
          <w:color w:val="2D3748"/>
          <w:sz w:val="21"/>
        </w:rPr>
        <w:t>Regla mnemotecnica de disposiciones: 4 Adicionales, 9 Transitorias, 1 Derogatoria y 1 Final (formula 4-9-1-1).</w:t>
      </w:r>
    </w:p>
    <w:p>
      <w:pPr>
        <w:spacing w:before="200" w:after="80" w:line="288" w:lineRule="auto"/>
      </w:pPr>
      <w:r>
        <w:rPr>
          <w:rFonts w:ascii="Arial" w:hAnsi="Arial"/>
          <w:b/>
          <w:color w:val="2B6CB0"/>
          <w:sz w:val="24"/>
        </w:rPr>
        <w:t>Principios estructurales del Titulo Preliminar</w:t>
      </w:r>
    </w:p>
    <w:p>
      <w:pPr>
        <w:spacing w:before="0" w:after="100" w:line="288" w:lineRule="auto"/>
      </w:pPr>
      <w:r>
        <w:rPr>
          <w:rFonts w:ascii="Arial" w:hAnsi="Arial"/>
          <w:color w:val="2D3748"/>
          <w:sz w:val="22"/>
        </w:rPr>
        <w:t>El Titulo Preliminar concentra las decisiones constituyentes basicas y los valores cardinales del Estado.</w:t>
      </w:r>
    </w:p>
    <w:p>
      <w:pPr>
        <w:spacing w:before="0" w:after="100" w:line="288" w:lineRule="auto"/>
      </w:pPr>
      <w:r>
        <w:rPr>
          <w:rFonts w:ascii="Arial" w:hAnsi="Arial"/>
          <w:color w:val="2D3748"/>
          <w:sz w:val="22"/>
        </w:rPr>
        <w:t>El articulo 9 impone el sometimiento general a la norma y proyecta los principios garantistas que rigen la actuacion administrativa.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Articulo 1: Estado social y democratico de Derecho; valores superiores (libertad, justicia, igualdad y pluralismo politico); soberania nacional residente en el pueblo; Monarquia parlamentaria como forma politica.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Articulo 2: indisoluble unidad de la Nacion espanola y derecho a la autonomia de nacionalidades y regiones con solidaridad interterritorial.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Articulo 3: castellano como lengua espanola oficial del Estado; demas lenguas oficiales en sus CCAA conforme a sus Estatutos.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Articulo 4: bandera formada por tres franjas horizontales (roja, amarilla y roja, doble anchura la central).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Articulos 6, 7 y 8: partidos politicos (pluralismo), sindicatos y patronales (intereses economicos y sociales), y Fuerzas Armadas (garantia de soberania e integridad).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Articulo 9.3: principios de legalidad, jerarquia normativa, publicidad de las normas, irretroactividad de disposiciones sancionadoras no favorables o restrictivas de derechos individuales, seguridad juridica, responsabilidad e interdiccion de la arbitrariedad de los poderes publicos.</w:t>
      </w:r>
    </w:p>
    <w:p>
      <w:pPr>
        <w:spacing w:before="120" w:after="160" w:line="276" w:lineRule="auto"/>
        <w:ind w:left="504"/>
        <w:pBdr>
          <w:left w:val="single" w:sz="24" w:space="12" w:color="2B6CB0"/>
        </w:pBdr>
      </w:pPr>
      <w:r>
        <w:rPr>
          <w:rFonts w:ascii="Arial" w:hAnsi="Arial"/>
          <w:b/>
          <w:color w:val="2B6CB0"/>
          <w:sz w:val="21"/>
        </w:rPr>
        <w:t xml:space="preserve">Atención Opositor: </w:t>
      </w:r>
      <w:r>
        <w:rPr>
          <w:rFonts w:ascii="Arial" w:hAnsi="Arial"/>
          <w:i/>
          <w:color w:val="2D3748"/>
          <w:sz w:val="21"/>
        </w:rPr>
        <w:t>Articulo 9.3: Pregunta habitual en test de Administrativo del Estado sobre que principios comprende y cuales quedan fuera (ej. retroactividad favorable no aparece literalmente citada).</w:t>
      </w:r>
    </w:p>
    <w:p>
      <w:pPr>
        <w:spacing w:before="280" w:after="120" w:line="288" w:lineRule="auto"/>
      </w:pPr>
      <w:r>
        <w:rPr>
          <w:rFonts w:ascii="Arial" w:hAnsi="Arial"/>
          <w:b/>
          <w:color w:val="1A365D"/>
          <w:sz w:val="28"/>
        </w:rPr>
        <w:t>3. Derechos y deberes fundamentales</w:t>
      </w:r>
    </w:p>
    <w:p>
      <w:pPr>
        <w:spacing w:before="200" w:after="80" w:line="288" w:lineRule="auto"/>
      </w:pPr>
      <w:r>
        <w:rPr>
          <w:rFonts w:ascii="Arial" w:hAnsi="Arial"/>
          <w:b/>
          <w:color w:val="2B6CB0"/>
          <w:sz w:val="24"/>
        </w:rPr>
        <w:t>Estructura sistematica del Titulo I</w:t>
      </w:r>
    </w:p>
    <w:p>
      <w:pPr>
        <w:spacing w:before="0" w:after="100" w:line="288" w:lineRule="auto"/>
      </w:pPr>
      <w:r>
        <w:rPr>
          <w:rFonts w:ascii="Arial" w:hAnsi="Arial"/>
          <w:color w:val="2D3748"/>
          <w:sz w:val="22"/>
        </w:rPr>
        <w:t>El Titulo I constituye el bloque dogmatico por excelencia y encabeza su contenido con el articulo 10 como fundamento del orden politico.</w:t>
      </w:r>
    </w:p>
    <w:p>
      <w:pPr>
        <w:spacing w:before="0" w:after="100" w:line="288" w:lineRule="auto"/>
      </w:pPr>
      <w:r>
        <w:rPr>
          <w:rFonts w:ascii="Arial" w:hAnsi="Arial"/>
          <w:color w:val="2D3748"/>
          <w:sz w:val="22"/>
        </w:rPr>
        <w:t>Se estructura internamente en cinco capitulos diferenciados por su objeto y grado de obligatoriedad.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Articulo 10.1: dignidad humana, derechos inviolables inherentes, libre desarrollo de la personalidad, respeto a la ley y derechos de los demas.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Articulo 10.2: clausula hermeneutica que obliga a interpretar los derechos conforme a la Declaracion Universal de Derechos Humanos y tratados ratificados.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Capitulo I (articulos 11 a 13): De los espanoles y los extranjeros (nacionalidad, mayoria de edad a los 18 anos, asilo y extradicion).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Capitulo II (articulos 14 a 38): Derechos y libertades, precedido por el principio de igualdad ante la ley del articulo 14.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Capitulo III (articulos 39 a 52): De los principios rectores de la politica social y economica.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Capitulo IV (articulos 53 y 54): De las garantias de las libertades y derechos fundamentales.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Capitulo V (articulo 55): De la suspension de los derechos y libertades.</w:t>
      </w:r>
    </w:p>
    <w:p>
      <w:pPr>
        <w:spacing w:before="200" w:after="80" w:line="288" w:lineRule="auto"/>
      </w:pPr>
      <w:r>
        <w:rPr>
          <w:rFonts w:ascii="Arial" w:hAnsi="Arial"/>
          <w:b/>
          <w:color w:val="2B6CB0"/>
          <w:sz w:val="24"/>
        </w:rPr>
        <w:t>Clasificacion material de derechos y deberes</w:t>
      </w:r>
    </w:p>
    <w:p>
      <w:pPr>
        <w:spacing w:before="0" w:after="100" w:line="288" w:lineRule="auto"/>
      </w:pPr>
      <w:r>
        <w:rPr>
          <w:rFonts w:ascii="Arial" w:hAnsi="Arial"/>
          <w:color w:val="2D3748"/>
          <w:sz w:val="22"/>
        </w:rPr>
        <w:t>La Constitucion gradua la eficacia y operatividad de los derechos segun la seccion en que se encuentren ubicados.</w:t>
      </w:r>
    </w:p>
    <w:p>
      <w:pPr>
        <w:spacing w:before="0" w:after="100" w:line="288" w:lineRule="auto"/>
      </w:pPr>
      <w:r>
        <w:rPr>
          <w:rFonts w:ascii="Arial" w:hAnsi="Arial"/>
          <w:color w:val="2D3748"/>
          <w:sz w:val="22"/>
        </w:rPr>
        <w:t>Solo los preceptos del Capitulo II vinculan directamente a todos los poderes publicos conforme al articulo 53.1.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Seccion 1a, Capitulo II (articulos 15 a 29): Derechos fundamentales y libertades publicas en sentido estricto (vida, integridad, libertad ideologica, libertad personal, intimidad, inviolabilidad del domicilio, secreto de comunicaciones, residencia y libre circulacion, expresion, reunion, asociacion, participacion politica, tutela judicial efectiva, legalidad penal, educacion, sindicacion, huelga y peticion).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Seccion 2a, Capitulo II (articulos 30 a 38): Derechos y deberes de los ciudadanos (defensa y objecion de conciencia, deber tributario, matrimonio, propiedad privada y herencia, colegiacion profesional, negociacion colectiva, conflicto colectivo y libertad de empresa).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Capitulo III (articulos 39 a 52): Principios rectores (proteccion de la familia e infancia, distribucion equitativa de renta, pleno empleo, seguridad social, salud publica, acceso a la cultura, medio ambiente, patrimonio historico, vivienda digna, juventud, tercera edad y consumidores).</w:t>
      </w:r>
    </w:p>
    <w:p>
      <w:pPr>
        <w:spacing w:before="120" w:after="160" w:line="276" w:lineRule="auto"/>
        <w:ind w:left="504"/>
        <w:pBdr>
          <w:left w:val="single" w:sz="24" w:space="12" w:color="2B6CB0"/>
        </w:pBdr>
      </w:pPr>
      <w:r>
        <w:rPr>
          <w:rFonts w:ascii="Arial" w:hAnsi="Arial"/>
          <w:b/>
          <w:color w:val="2B6CB0"/>
          <w:sz w:val="21"/>
        </w:rPr>
        <w:t xml:space="preserve">Atención Opositor: </w:t>
      </w:r>
      <w:r>
        <w:rPr>
          <w:rFonts w:ascii="Arial" w:hAnsi="Arial"/>
          <w:i/>
          <w:color w:val="2D3748"/>
          <w:sz w:val="21"/>
        </w:rPr>
        <w:t>Atencion a la ubicacion: El derecho a la huelga (art. 28.2) es fundamental con proteccion maxima; el derecho al conflicto colectivo (art. 37.2) es derecho ordinario de la Seccion 2a.</w:t>
      </w:r>
    </w:p>
    <w:p>
      <w:pPr>
        <w:spacing w:before="280" w:after="120" w:line="288" w:lineRule="auto"/>
      </w:pPr>
      <w:r>
        <w:rPr>
          <w:rFonts w:ascii="Arial" w:hAnsi="Arial"/>
          <w:b/>
          <w:color w:val="1A365D"/>
          <w:sz w:val="28"/>
        </w:rPr>
        <w:t>4. Su garantia y suspension</w:t>
      </w:r>
    </w:p>
    <w:p>
      <w:pPr>
        <w:spacing w:before="200" w:after="80" w:line="288" w:lineRule="auto"/>
      </w:pPr>
      <w:r>
        <w:rPr>
          <w:rFonts w:ascii="Arial" w:hAnsi="Arial"/>
          <w:b/>
          <w:color w:val="2B6CB0"/>
          <w:sz w:val="24"/>
        </w:rPr>
        <w:t>Niveles de proteccion y garantias del articulo 53</w:t>
      </w:r>
    </w:p>
    <w:p>
      <w:pPr>
        <w:spacing w:before="0" w:after="100" w:line="288" w:lineRule="auto"/>
      </w:pPr>
      <w:r>
        <w:rPr>
          <w:rFonts w:ascii="Arial" w:hAnsi="Arial"/>
          <w:color w:val="2D3748"/>
          <w:sz w:val="22"/>
        </w:rPr>
        <w:t>El articulo 53 articula un triple regimen jerarquizado de proteccion judicial, legal e institucional para salvaguardar los derechos.</w:t>
      </w:r>
    </w:p>
    <w:p>
      <w:pPr>
        <w:spacing w:before="0" w:after="100" w:line="288" w:lineRule="auto"/>
      </w:pPr>
      <w:r>
        <w:rPr>
          <w:rFonts w:ascii="Arial" w:hAnsi="Arial"/>
          <w:color w:val="2D3748"/>
          <w:sz w:val="22"/>
        </w:rPr>
        <w:t>Segun la ubicacion sistematica de la norma, los mecanismos de amparo y exigibilidad son de intensidad dispar.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Garantia generica de vinculacion: todos los derechos del Capitulo II obligan a todos los poderes publicos (art. 53.1).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Reserva de ley formal y respeto al contenido esencial: predicable para la totalidad del Capitulo II (arts. 14 a 38), requiriendose Ley Organica exclusivamente para la Seccion 1a (art. 81).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Tutela judicial reforzada: procedimiento preferente y sumario ante la jurisdiccion ordinaria y Recurso de Amparo ante el Tribunal Constitucional solo para Seccion 1a (arts. 15-29), principio de igualdad (art. 14) y objecion de conciencia militar (art. 30.2).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Eficacia de principios rectores (Capitulo III): informaran la legislacion positiva, la practica judicial y la actuacion de los poderes publicos, invocables solo ante la jurisdiccion ordinaria segun las leyes de desarrollo (art. 53.3).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Garantias institucionales: intervencion del Defensor del Pueblo (art. 54) y del Ministerio Fiscal en defensa de la legalidad y los derechos de los ciudadanos (art. 124).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CBD5E0"/>
          <w:left w:val="none"/>
          <w:bottom w:val="single" w:sz="8" w:space="0" w:color="CBD5E0"/>
          <w:right w:val="none"/>
          <w:insideH w:val="single" w:sz="4" w:space="0" w:color="CBD5E0"/>
          <w:insideV w:val="none"/>
        </w:tblBorders>
      </w:tblPr>
      <w:tblGrid>
        <w:gridCol w:w="2340"/>
        <w:gridCol w:w="2340"/>
        <w:gridCol w:w="2340"/>
        <w:gridCol w:w="2340"/>
      </w:tblGrid>
      <w:tr>
        <w:tc>
          <w:tcPr>
            <w:tcW w:type="dxa" w:w="2340"/>
            <w:shd w:fill="1A365D"/>
          </w:tcPr>
          <w:p>
            <w:pPr>
              <w:spacing w:before="80" w:after="80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Nivel de Proteccion</w:t>
            </w:r>
          </w:p>
        </w:tc>
        <w:tc>
          <w:tcPr>
            <w:tcW w:type="dxa" w:w="2340"/>
            <w:shd w:fill="1A365D"/>
          </w:tcPr>
          <w:p>
            <w:pPr>
              <w:spacing w:before="80" w:after="80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Preceptos Constitucionales</w:t>
            </w:r>
          </w:p>
        </w:tc>
        <w:tc>
          <w:tcPr>
            <w:tcW w:type="dxa" w:w="2340"/>
            <w:shd w:fill="1A365D"/>
          </w:tcPr>
          <w:p>
            <w:pPr>
              <w:spacing w:before="80" w:after="80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Tipo de Reserva Legal</w:t>
            </w:r>
          </w:p>
        </w:tc>
        <w:tc>
          <w:tcPr>
            <w:tcW w:type="dxa" w:w="2340"/>
            <w:shd w:fill="1A365D"/>
          </w:tcPr>
          <w:p>
            <w:pPr>
              <w:spacing w:before="80" w:after="80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Garantia Jurisdiccional Especifica</w:t>
            </w:r>
          </w:p>
        </w:tc>
      </w:tr>
      <w:tr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Maximo o reforzado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Articulo 14, Seccion 1a (arts. 15-29) y Art. 30.2 (objecion)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Ley Organica (salvo art. 14 y 30.2 por ley ordinaria); contenido esencial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Procedimiento sumario y preferente + Recurso de Amparo ante el TC</w:t>
            </w:r>
          </w:p>
        </w:tc>
      </w:tr>
      <w:tr>
        <w:tc>
          <w:tcPr>
            <w:tcW w:type="dxa" w:w="234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Ordinario</w:t>
            </w:r>
          </w:p>
        </w:tc>
        <w:tc>
          <w:tcPr>
            <w:tcW w:type="dxa" w:w="234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Seccion 2a (arts. 30 a 38, excepto art. 30.2 en amparo)</w:t>
            </w:r>
          </w:p>
        </w:tc>
        <w:tc>
          <w:tcPr>
            <w:tcW w:type="dxa" w:w="234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Ley ordinaria; obligado respeto al contenido esencial</w:t>
            </w:r>
          </w:p>
        </w:tc>
        <w:tc>
          <w:tcPr>
            <w:tcW w:type="dxa" w:w="234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Jurisdiccion ordinaria comun (recurso de inconstitucionalidad)</w:t>
            </w:r>
          </w:p>
        </w:tc>
      </w:tr>
      <w:tr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Basico o programatico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Capitulo III (arts. 39 a 52: Principios Rectores)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Norma de desarrollo sectorial (ley u ordenamiento reglamentario)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Solo exigibles judicialmente conforme dispongan las leyes que los desarrollen</w:t>
            </w:r>
          </w:p>
        </w:tc>
      </w:tr>
    </w:tbl>
    <w:p>
      <w:pPr>
        <w:spacing w:after="120"/>
      </w:pPr>
    </w:p>
    <w:p>
      <w:pPr>
        <w:spacing w:before="120" w:after="160" w:line="276" w:lineRule="auto"/>
        <w:ind w:left="504"/>
        <w:pBdr>
          <w:left w:val="single" w:sz="24" w:space="12" w:color="2B6CB0"/>
        </w:pBdr>
      </w:pPr>
      <w:r>
        <w:rPr>
          <w:rFonts w:ascii="Arial" w:hAnsi="Arial"/>
          <w:b/>
          <w:color w:val="2B6CB0"/>
          <w:sz w:val="21"/>
        </w:rPr>
        <w:t xml:space="preserve">Atención Opositor: </w:t>
      </w:r>
      <w:r>
        <w:rPr>
          <w:rFonts w:ascii="Arial" w:hAnsi="Arial"/>
          <w:i/>
          <w:color w:val="2D3748"/>
          <w:sz w:val="21"/>
        </w:rPr>
        <w:t>Trampa frecuente: El articulo 14 (igualdad) y el articulo 30.2 (objecion de conciencia) tienen acceso al Recurso de Amparo constitucional, pero NO exigen Ley Organica para su desarrollo legislativo.</w:t>
      </w:r>
    </w:p>
    <w:p>
      <w:pPr>
        <w:spacing w:before="200" w:after="80" w:line="288" w:lineRule="auto"/>
      </w:pPr>
      <w:r>
        <w:rPr>
          <w:rFonts w:ascii="Arial" w:hAnsi="Arial"/>
          <w:b/>
          <w:color w:val="2B6CB0"/>
          <w:sz w:val="24"/>
        </w:rPr>
        <w:t>Suspension colectiva e individual de garantias constitucionales</w:t>
      </w:r>
    </w:p>
    <w:p>
      <w:pPr>
        <w:spacing w:before="0" w:after="100" w:line="288" w:lineRule="auto"/>
      </w:pPr>
      <w:r>
        <w:rPr>
          <w:rFonts w:ascii="Arial" w:hAnsi="Arial"/>
          <w:color w:val="2D3748"/>
          <w:sz w:val="22"/>
        </w:rPr>
        <w:t>La suspension de derechos puede producirse de forma general mediante estados excepcionales o de forma individualizada contra bandas armadas.</w:t>
      </w:r>
    </w:p>
    <w:p>
      <w:pPr>
        <w:spacing w:before="0" w:after="100" w:line="288" w:lineRule="auto"/>
      </w:pPr>
      <w:r>
        <w:rPr>
          <w:rFonts w:ascii="Arial" w:hAnsi="Arial"/>
          <w:color w:val="2D3748"/>
          <w:sz w:val="22"/>
        </w:rPr>
        <w:t>El articulo 55 y la Ley Organica 4/1981 fijan los cauces, plazos y facultades limitativas del poder estatal.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Suspension general o colectiva (art. 55.1): vinculada a la declaracion del estado de excepcion o de sitio (nunca en el estado de alarma).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Derechos susceptibles de suspension colectiva: libertad y seguridad (art. 17, salvo art. 17.3 en excepcion), inviolabilidad del domicilio (art. 18.2), secreto de las comunicaciones (art. 18.3), libertad de circulacion y residencia (art. 19), libertad de expresion y produccion (arts. 20.1.a y d, y secuestro art. 20.5), derecho de reunion y manifestacion (art. 21), derecho de huelga (art. 28.2) y derecho a adoptar medidas de conflicto colectivo (art. 37.2).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Garantia irreductible en estado de excepcion: el plazo maximo de detencion preventiva y el derecho a asistencia letrada no se pueden suprimir (art. 17.3 se mantiene intangible salvo en estado de sitio).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Suspension individual (art. 55.2): aplicable por Ley Organica (art. 384 bis y concordantes LECrim) exclusivamente a personas investigadas por bandas armadas o elementos terroristas.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Derechos afectables en via individual: unicamente plazo maximo de detencion preventiva (art. 17.2), inviolabilidad del domicilio (art. 18.2) y secreto de comunicaciones (art. 18.3), con obligada intervencion judicial y control parlamentario.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CBD5E0"/>
          <w:left w:val="none"/>
          <w:bottom w:val="single" w:sz="8" w:space="0" w:color="CBD5E0"/>
          <w:right w:val="none"/>
          <w:insideH w:val="single" w:sz="4" w:space="0" w:color="CBD5E0"/>
          <w:insideV w:val="none"/>
        </w:tblBorders>
      </w:tblPr>
      <w:tblGrid>
        <w:gridCol w:w="2340"/>
        <w:gridCol w:w="2340"/>
        <w:gridCol w:w="2340"/>
        <w:gridCol w:w="2340"/>
      </w:tblGrid>
      <w:tr>
        <w:tc>
          <w:tcPr>
            <w:tcW w:type="dxa" w:w="2340"/>
            <w:shd w:fill="1A365D"/>
          </w:tcPr>
          <w:p>
            <w:pPr>
              <w:spacing w:before="80" w:after="80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Estado Excepcional</w:t>
            </w:r>
          </w:p>
        </w:tc>
        <w:tc>
          <w:tcPr>
            <w:tcW w:type="dxa" w:w="2340"/>
            <w:shd w:fill="1A365D"/>
          </w:tcPr>
          <w:p>
            <w:pPr>
              <w:spacing w:before="80" w:after="80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Declaracion / Aprobacion</w:t>
            </w:r>
          </w:p>
        </w:tc>
        <w:tc>
          <w:tcPr>
            <w:tcW w:type="dxa" w:w="2340"/>
            <w:shd w:fill="1A365D"/>
          </w:tcPr>
          <w:p>
            <w:pPr>
              <w:spacing w:before="80" w:after="80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Plazo Maximo de Vigencia</w:t>
            </w:r>
          </w:p>
        </w:tc>
        <w:tc>
          <w:tcPr>
            <w:tcW w:type="dxa" w:w="2340"/>
            <w:shd w:fill="1A365D"/>
          </w:tcPr>
          <w:p>
            <w:pPr>
              <w:spacing w:before="80" w:after="80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Efectos sobre Derechos Fundamentales</w:t>
            </w:r>
          </w:p>
        </w:tc>
      </w:tr>
      <w:tr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Alarma (art. 116.2)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Gobierno mediante Real Decreto (da cuenta al Congreso de los Diputados)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15 dias naturales (prorrogables unicamente con autorizacion expresa del Congreso)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No suspende ningun derecho fundamental; solo limita derechos como la circulacion (art. 19)</w:t>
            </w:r>
          </w:p>
        </w:tc>
      </w:tr>
      <w:tr>
        <w:tc>
          <w:tcPr>
            <w:tcW w:type="dxa" w:w="234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Excepcion (art. 116.3)</w:t>
            </w:r>
          </w:p>
        </w:tc>
        <w:tc>
          <w:tcPr>
            <w:tcW w:type="dxa" w:w="234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Gobierno mediante Real Decreto previa autorizacion vinculante del Congreso</w:t>
            </w:r>
          </w:p>
        </w:tc>
        <w:tc>
          <w:tcPr>
            <w:tcW w:type="dxa" w:w="234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30 dias naturales (prorrogables por un plazo identico adicional de 30 dias)</w:t>
            </w:r>
          </w:p>
        </w:tc>
        <w:tc>
          <w:tcPr>
            <w:tcW w:type="dxa" w:w="234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Suspende derechos del art. 55.1 (seguridad, domicilio, comunicaciones, transito, huelga) excepto art. 17.3</w:t>
            </w:r>
          </w:p>
        </w:tc>
      </w:tr>
      <w:tr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Sitio (art. 116.4)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Congreso de los Diputados por mayoria absoluta a propuesta exclusiva del Gobierno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El determinado expresamente por el Congreso en su declaracion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Suspende derechos del art. 55.1 incluyendo excepcionalmente las garantias del detenido del art. 17.3</w:t>
            </w:r>
          </w:p>
        </w:tc>
      </w:tr>
    </w:tbl>
    <w:p>
      <w:pPr>
        <w:spacing w:after="120"/>
      </w:pPr>
    </w:p>
    <w:p>
      <w:pPr>
        <w:spacing w:before="120" w:after="160" w:line="276" w:lineRule="auto"/>
        <w:ind w:left="504"/>
        <w:pBdr>
          <w:left w:val="single" w:sz="24" w:space="12" w:color="2B6CB0"/>
        </w:pBdr>
      </w:pPr>
      <w:r>
        <w:rPr>
          <w:rFonts w:ascii="Arial" w:hAnsi="Arial"/>
          <w:b/>
          <w:color w:val="2B6CB0"/>
          <w:sz w:val="21"/>
        </w:rPr>
        <w:t xml:space="preserve">Atención Opositor: </w:t>
      </w:r>
      <w:r>
        <w:rPr>
          <w:rFonts w:ascii="Arial" w:hAnsi="Arial"/>
          <w:i/>
          <w:color w:val="2D3748"/>
          <w:sz w:val="21"/>
        </w:rPr>
        <w:t>Regla basica de examen: Durante los estados del articulo 116 no podra disolverse el Congreso de los Diputados, cuyas camaras quedan automaticamente convocadas si no estuvieren en periodo de sesiones.</w:t>
      </w:r>
    </w:p>
    <w:p>
      <w:pPr>
        <w:spacing w:before="280" w:after="120" w:line="288" w:lineRule="auto"/>
      </w:pPr>
      <w:r>
        <w:rPr>
          <w:rFonts w:ascii="Arial" w:hAnsi="Arial"/>
          <w:b/>
          <w:color w:val="1A365D"/>
          <w:sz w:val="28"/>
        </w:rPr>
        <w:t>5. El Tribunal Constitucional</w:t>
      </w:r>
    </w:p>
    <w:p>
      <w:pPr>
        <w:spacing w:before="200" w:after="80" w:line="288" w:lineRule="auto"/>
      </w:pPr>
      <w:r>
        <w:rPr>
          <w:rFonts w:ascii="Arial" w:hAnsi="Arial"/>
          <w:b/>
          <w:color w:val="2B6CB0"/>
          <w:sz w:val="24"/>
        </w:rPr>
        <w:t>Naturaleza, composición y estatuto de sus miembros</w:t>
      </w:r>
    </w:p>
    <w:p>
      <w:pPr>
        <w:spacing w:before="0" w:after="100" w:line="288" w:lineRule="auto"/>
      </w:pPr>
      <w:r>
        <w:rPr>
          <w:rFonts w:ascii="Arial" w:hAnsi="Arial"/>
          <w:color w:val="2D3748"/>
          <w:sz w:val="22"/>
        </w:rPr>
        <w:t>El Tribunal Constitucional es el intérprete supremo de la Constitución, independiente de los demás órganos constitucionales y sometido únicamente a la Constitución y a su Ley Orgánica 2/1979.</w:t>
      </w:r>
    </w:p>
    <w:p>
      <w:pPr>
        <w:spacing w:before="0" w:after="100" w:line="288" w:lineRule="auto"/>
      </w:pPr>
      <w:r>
        <w:rPr>
          <w:rFonts w:ascii="Arial" w:hAnsi="Arial"/>
          <w:color w:val="2D3748"/>
          <w:sz w:val="22"/>
        </w:rPr>
        <w:t>Se compone de 12 miembros nombrados formalmente por el Rey por un período de 9 años, renovándose por terceras partes (cuatro miembros) cada 3 años.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Propuesta de designación: 4 por el Congreso de los Diputados (mayoría de 3/5), 4 por el Senado (mayoría de 3/5), 2 por el Gobierno y 2 por el Consejo General del Poder Judicial.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Requisitos: Magistrados, Fiscales, Profesores de Universidad, Funcionarios públicos y Abogados, todos ellos juristas de reconocida competencia con más de 15 años de ejercicio profesional.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Presidencia: Elegido por el Pleno de entre sus miembros en votación secreta por un período de 3 años, reelegible una sola vez.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Estatuto: Independientes e inamovibles; sujetos al mismo régimen de incompatibilidades que los miembros del Poder Judicial; no pueden ser perseguidos por las opiniones expresadas en el ejercicio de sus funciones.</w:t>
      </w:r>
    </w:p>
    <w:p>
      <w:pPr>
        <w:spacing w:before="120" w:after="160" w:line="276" w:lineRule="auto"/>
        <w:ind w:left="504"/>
        <w:pBdr>
          <w:left w:val="single" w:sz="24" w:space="12" w:color="2B6CB0"/>
        </w:pBdr>
      </w:pPr>
      <w:r>
        <w:rPr>
          <w:rFonts w:ascii="Arial" w:hAnsi="Arial"/>
          <w:b/>
          <w:color w:val="2B6CB0"/>
          <w:sz w:val="21"/>
        </w:rPr>
        <w:t xml:space="preserve">Atención Opositor: </w:t>
      </w:r>
      <w:r>
        <w:rPr>
          <w:rFonts w:ascii="Arial" w:hAnsi="Arial"/>
          <w:i/>
          <w:color w:val="2D3748"/>
          <w:sz w:val="21"/>
        </w:rPr>
        <w:t>Los miembros del TC son designados por 9 años sin posibilidad de reelección inmediata, salvo que hubieran ocupado el cargo por un plazo no superior a 3 años.</w:t>
      </w:r>
    </w:p>
    <w:p>
      <w:pPr>
        <w:spacing w:before="200" w:after="80" w:line="288" w:lineRule="auto"/>
      </w:pPr>
      <w:r>
        <w:rPr>
          <w:rFonts w:ascii="Arial" w:hAnsi="Arial"/>
          <w:b/>
          <w:color w:val="2B6CB0"/>
          <w:sz w:val="24"/>
        </w:rPr>
        <w:t>Competencias y procesos constitucionales</w:t>
      </w:r>
    </w:p>
    <w:p>
      <w:pPr>
        <w:spacing w:before="0" w:after="100" w:line="288" w:lineRule="auto"/>
      </w:pPr>
      <w:r>
        <w:rPr>
          <w:rFonts w:ascii="Arial" w:hAnsi="Arial"/>
          <w:color w:val="2D3748"/>
          <w:sz w:val="22"/>
        </w:rPr>
        <w:t>El Tribunal Constitucional extiende su jurisdicción a todo el territorio nacional y conoce de los procesos dirigidos a garantizar la primacía constitucional y los derechos fundamentales.</w:t>
      </w:r>
    </w:p>
    <w:p>
      <w:pPr>
        <w:spacing w:before="0" w:after="100" w:line="288" w:lineRule="auto"/>
      </w:pPr>
      <w:r>
        <w:rPr>
          <w:rFonts w:ascii="Arial" w:hAnsi="Arial"/>
          <w:color w:val="2D3748"/>
          <w:sz w:val="22"/>
        </w:rPr>
        <w:t>Sus sentencias tienen valor de cosa juzgada a partir del día siguiente al de su publicación en el BOE y no cabe recurso alguno contra ellas.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Recurso de inconstitucionalidad: Contra leyes y disposiciones normativas con fuerza de ley.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Cuestión de inconstitucionalidad: Promovida por jueces o tribunales de oficio o a instancia de parte cuando una norma con rango de ley aplicable al fallo pueda ser contraria a la CE.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Recurso de amparo: Tutela de los derechos fundamentales reconocidos en los artículos 14 a 29 y la objeción de conciencia del artículo 30.2 CE.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Conflictos de competencia: Entre el Estado y las Comunidades Autónomas o de estas entre sí (positivos o negativos).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Conflictos entre órganos constitucionales: Gobierno, Congreso, Senado y CGPJ.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Control previo de tratados internacionales: Art. 95 CE, a requerimiento del Gobierno, Congreso o Senado.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CBD5E0"/>
          <w:left w:val="none"/>
          <w:bottom w:val="single" w:sz="8" w:space="0" w:color="CBD5E0"/>
          <w:right w:val="none"/>
          <w:insideH w:val="single" w:sz="4" w:space="0" w:color="CBD5E0"/>
          <w:insideV w:val="none"/>
        </w:tblBorders>
      </w:tblPr>
      <w:tblGrid>
        <w:gridCol w:w="2340"/>
        <w:gridCol w:w="2340"/>
        <w:gridCol w:w="2340"/>
        <w:gridCol w:w="2340"/>
      </w:tblGrid>
      <w:tr>
        <w:tc>
          <w:tcPr>
            <w:tcW w:type="dxa" w:w="2340"/>
            <w:shd w:fill="1A365D"/>
          </w:tcPr>
          <w:p>
            <w:pPr>
              <w:spacing w:before="80" w:after="80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Vía Procesal</w:t>
            </w:r>
          </w:p>
        </w:tc>
        <w:tc>
          <w:tcPr>
            <w:tcW w:type="dxa" w:w="2340"/>
            <w:shd w:fill="1A365D"/>
          </w:tcPr>
          <w:p>
            <w:pPr>
              <w:spacing w:before="80" w:after="80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Objeto</w:t>
            </w:r>
          </w:p>
        </w:tc>
        <w:tc>
          <w:tcPr>
            <w:tcW w:type="dxa" w:w="2340"/>
            <w:shd w:fill="1A365D"/>
          </w:tcPr>
          <w:p>
            <w:pPr>
              <w:spacing w:before="80" w:after="80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Legitimación Activa</w:t>
            </w:r>
          </w:p>
        </w:tc>
        <w:tc>
          <w:tcPr>
            <w:tcW w:type="dxa" w:w="2340"/>
            <w:shd w:fill="1A365D"/>
          </w:tcPr>
          <w:p>
            <w:pPr>
              <w:spacing w:before="80" w:after="80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Plazo General de Interposición</w:t>
            </w:r>
          </w:p>
        </w:tc>
      </w:tr>
      <w:tr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Recurso de Inconstitucionalidad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Leyes, disposiciones normativas y actos con fuerza de ley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Presidente del Gobierno, Defensor del Pueblo, 50 Diputados, 50 Senadores, Gobiernos y Asambleas autonómicas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3 meses desde publicación (ampliable a 9 meses en supuestos del art. 33.2 LOTC)</w:t>
            </w:r>
          </w:p>
        </w:tc>
      </w:tr>
      <w:tr>
        <w:tc>
          <w:tcPr>
            <w:tcW w:type="dxa" w:w="234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Cuestión de Inconstitucionalidad</w:t>
            </w:r>
          </w:p>
        </w:tc>
        <w:tc>
          <w:tcPr>
            <w:tcW w:type="dxa" w:w="234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Norma con rango de ley aplicable al caso de cuya validez dependa el fallo</w:t>
            </w:r>
          </w:p>
        </w:tc>
        <w:tc>
          <w:tcPr>
            <w:tcW w:type="dxa" w:w="234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Jueces y Tribunales (de oficio o a instancia de parte, mediante auto)</w:t>
            </w:r>
          </w:p>
        </w:tc>
        <w:tc>
          <w:tcPr>
            <w:tcW w:type="dxa" w:w="234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Una vez concluso el procedimiento y dentro del plazo para dictar sentencia</w:t>
            </w:r>
          </w:p>
        </w:tc>
      </w:tr>
      <w:tr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Recurso de Amparo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Vulneración de derechos reconocidos en arts. 14 a 29 y 30.2 CE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Persona natural o jurídica afectada, Defensor del Pueblo y Ministerio Fiscal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20 días (actos judiciales) o 3 meses (actos parlamentarios) tras agotar vía previa</w:t>
            </w:r>
          </w:p>
        </w:tc>
      </w:tr>
    </w:tbl>
    <w:p>
      <w:pPr>
        <w:spacing w:after="120"/>
      </w:pPr>
    </w:p>
    <w:p>
      <w:pPr>
        <w:spacing w:before="120" w:after="160" w:line="276" w:lineRule="auto"/>
        <w:ind w:left="504"/>
        <w:pBdr>
          <w:left w:val="single" w:sz="24" w:space="12" w:color="2B6CB0"/>
        </w:pBdr>
      </w:pPr>
      <w:r>
        <w:rPr>
          <w:rFonts w:ascii="Arial" w:hAnsi="Arial"/>
          <w:b/>
          <w:color w:val="2B6CB0"/>
          <w:sz w:val="21"/>
        </w:rPr>
        <w:t xml:space="preserve">Atención Opositor: </w:t>
      </w:r>
      <w:r>
        <w:rPr>
          <w:rFonts w:ascii="Arial" w:hAnsi="Arial"/>
          <w:i/>
          <w:color w:val="2D3748"/>
          <w:sz w:val="21"/>
        </w:rPr>
        <w:t>La cuestión de inconstitucionalidad es un monopolio judicial: los ciudadanos nunca están legitimados para plantearla directamente, solo pueden solicitarlo al órgano jurisdiccional.</w:t>
      </w:r>
    </w:p>
    <w:p>
      <w:pPr>
        <w:spacing w:before="280" w:after="120" w:line="288" w:lineRule="auto"/>
      </w:pPr>
      <w:r>
        <w:rPr>
          <w:rFonts w:ascii="Arial" w:hAnsi="Arial"/>
          <w:b/>
          <w:color w:val="1A365D"/>
          <w:sz w:val="28"/>
        </w:rPr>
        <w:t>6. El Defensor del Pueblo</w:t>
      </w:r>
    </w:p>
    <w:p>
      <w:pPr>
        <w:spacing w:before="200" w:after="80" w:line="288" w:lineRule="auto"/>
      </w:pPr>
      <w:r>
        <w:rPr>
          <w:rFonts w:ascii="Arial" w:hAnsi="Arial"/>
          <w:b/>
          <w:color w:val="2B6CB0"/>
          <w:sz w:val="24"/>
        </w:rPr>
        <w:t>Régimen jurídico, designación y estatuto personal</w:t>
      </w:r>
    </w:p>
    <w:p>
      <w:pPr>
        <w:spacing w:before="0" w:after="100" w:line="288" w:lineRule="auto"/>
      </w:pPr>
      <w:r>
        <w:rPr>
          <w:rFonts w:ascii="Arial" w:hAnsi="Arial"/>
          <w:color w:val="2D3748"/>
          <w:sz w:val="22"/>
        </w:rPr>
        <w:t>Regulado en el artículo 54 de la Constitución y desarrollado por la Ley Orgánica 3/1981, se configura como el alto comisionado de las Cortes Generales para la defensa de los derechos del Título I.</w:t>
      </w:r>
    </w:p>
    <w:p>
      <w:pPr>
        <w:spacing w:before="0" w:after="100" w:line="288" w:lineRule="auto"/>
      </w:pPr>
      <w:r>
        <w:rPr>
          <w:rFonts w:ascii="Arial" w:hAnsi="Arial"/>
          <w:color w:val="2D3748"/>
          <w:sz w:val="22"/>
        </w:rPr>
        <w:t>Supervisa la actividad de la Administración Pública (estatal, autonómica y local), dando cuenta periódica a las Cortes Generales mediante un informe anual.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Elección: Mayoría de 3/5 del Congreso de los Diputados y ratificado por mayoría de 3/5 del Senado (en caso de bloqueo existe fórmula de desbloqueo tasada).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Mandato: Período de 5 años, con posibilidad de ser reelegido.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Requisitos: Ser español, mayor de edad y encontrarse en el pleno disfrute de los derechos civiles y políticos.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Prerrogativas: Goza de inviolabilidad por los actos y opiniones emitidos en el ejercicio del cargo, e inmunidad (solo puede ser detenido en caso de flagrante delito, decidiendo sobre su inculpación la Sala de lo Penal del Tribunal Supremo).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Independencia: No está sujeto a mandato imperativo alguno, no recibe instrucciones de ninguna autoridad y desempeña sus funciones con total autonomía.</w:t>
      </w:r>
    </w:p>
    <w:p>
      <w:pPr>
        <w:spacing w:before="120" w:after="160" w:line="276" w:lineRule="auto"/>
        <w:ind w:left="504"/>
        <w:pBdr>
          <w:left w:val="single" w:sz="24" w:space="12" w:color="2B6CB0"/>
        </w:pBdr>
      </w:pPr>
      <w:r>
        <w:rPr>
          <w:rFonts w:ascii="Arial" w:hAnsi="Arial"/>
          <w:b/>
          <w:color w:val="2B6CB0"/>
          <w:sz w:val="21"/>
        </w:rPr>
        <w:t xml:space="preserve">Atención Opositor: </w:t>
      </w:r>
      <w:r>
        <w:rPr>
          <w:rFonts w:ascii="Arial" w:hAnsi="Arial"/>
          <w:i/>
          <w:color w:val="2D3748"/>
          <w:sz w:val="21"/>
        </w:rPr>
        <w:t>Las funciones del Defensor del Pueblo no se interrumpen durante la declaración de los estados de alarma, excepción o sitio, ni por la disolución de las Cortes Generales.</w:t>
      </w:r>
    </w:p>
    <w:p>
      <w:pPr>
        <w:spacing w:before="200" w:after="80" w:line="288" w:lineRule="auto"/>
      </w:pPr>
      <w:r>
        <w:rPr>
          <w:rFonts w:ascii="Arial" w:hAnsi="Arial"/>
          <w:b/>
          <w:color w:val="2B6CB0"/>
          <w:sz w:val="24"/>
        </w:rPr>
        <w:t>Procedimiento de actuación y facultades</w:t>
      </w:r>
    </w:p>
    <w:p>
      <w:pPr>
        <w:spacing w:before="0" w:after="100" w:line="288" w:lineRule="auto"/>
      </w:pPr>
      <w:r>
        <w:rPr>
          <w:rFonts w:ascii="Arial" w:hAnsi="Arial"/>
          <w:color w:val="2D3748"/>
          <w:sz w:val="22"/>
        </w:rPr>
        <w:t>Puede iniciar actuaciones tanto de oficio como a instancia de parte interesada, mediante queja motivada en papel común.</w:t>
      </w:r>
    </w:p>
    <w:p>
      <w:pPr>
        <w:spacing w:before="0" w:after="100" w:line="288" w:lineRule="auto"/>
      </w:pPr>
      <w:r>
        <w:rPr>
          <w:rFonts w:ascii="Arial" w:hAnsi="Arial"/>
          <w:color w:val="2D3748"/>
          <w:sz w:val="22"/>
        </w:rPr>
        <w:t>Sus actuaciones y servicios son totalmente gratuitos para los ciudadanos y no requieren asistencia de abogado ni procurador.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Legitimación pasiva amplia: Puede investigar a toda la Administración civil, militar y a la Administración de Justicia (trasladando irregularidades al Consejo General del Poder Judicial o al Ministerio Fiscal).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Límites de intervención: No puede intervenir en quejas sobre las que esté pendiente resolución judicial y suspenderá su actuación si se inicia un proceso judicial.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Facultades resolutivas: Carece de potestad anulatoria o sancionadora; sus resoluciones adoptan la forma de advertencias, recomendaciones, recordatorios de deberes legales y sugerencias.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Legitimación constitucional: Está legitimado activamente para interponer recurso de inconstitucionalidad y recurso de amparo ante el Tribunal Constitucional.</w:t>
      </w:r>
    </w:p>
    <w:p>
      <w:pPr>
        <w:spacing w:before="120" w:after="160" w:line="276" w:lineRule="auto"/>
        <w:ind w:left="504"/>
        <w:pBdr>
          <w:left w:val="single" w:sz="24" w:space="12" w:color="2B6CB0"/>
        </w:pBdr>
      </w:pPr>
      <w:r>
        <w:rPr>
          <w:rFonts w:ascii="Arial" w:hAnsi="Arial"/>
          <w:b/>
          <w:color w:val="2B6CB0"/>
          <w:sz w:val="21"/>
        </w:rPr>
        <w:t xml:space="preserve">Atención Opositor: </w:t>
      </w:r>
      <w:r>
        <w:rPr>
          <w:rFonts w:ascii="Arial" w:hAnsi="Arial"/>
          <w:i/>
          <w:color w:val="2D3748"/>
          <w:sz w:val="21"/>
        </w:rPr>
        <w:t>Todos los poderes públicos y funcionarios están obligados a colaborar con carácter preferente y urgente con el Defensor del Pueblo; la obstaculización culpable de sus investigaciones constituye delito de desobediencia.</w:t>
      </w:r>
    </w:p>
    <w:p>
      <w:pPr>
        <w:spacing w:before="280" w:after="120" w:line="288" w:lineRule="auto"/>
      </w:pPr>
      <w:r>
        <w:rPr>
          <w:rFonts w:ascii="Arial" w:hAnsi="Arial"/>
          <w:b/>
          <w:color w:val="1A365D"/>
          <w:sz w:val="28"/>
        </w:rPr>
        <w:t>7. Reforma de la Constitución</w:t>
      </w:r>
    </w:p>
    <w:p>
      <w:pPr>
        <w:spacing w:before="200" w:after="80" w:line="288" w:lineRule="auto"/>
      </w:pPr>
      <w:r>
        <w:rPr>
          <w:rFonts w:ascii="Arial" w:hAnsi="Arial"/>
          <w:b/>
          <w:color w:val="2B6CB0"/>
          <w:sz w:val="24"/>
        </w:rPr>
        <w:t>Iniciativa de reforma y límites temporales</w:t>
      </w:r>
    </w:p>
    <w:p>
      <w:pPr>
        <w:spacing w:before="0" w:after="100" w:line="288" w:lineRule="auto"/>
      </w:pPr>
      <w:r>
        <w:rPr>
          <w:rFonts w:ascii="Arial" w:hAnsi="Arial"/>
          <w:color w:val="2D3748"/>
          <w:sz w:val="22"/>
        </w:rPr>
        <w:t>El Título X de la CE (artículos 166 a 169) establece un procedimiento de reforma constitucional rígido para salvaguardar la estabilidad de la norma fundamental.</w:t>
      </w:r>
    </w:p>
    <w:p>
      <w:pPr>
        <w:spacing w:before="0" w:after="100" w:line="288" w:lineRule="auto"/>
      </w:pPr>
      <w:r>
        <w:rPr>
          <w:rFonts w:ascii="Arial" w:hAnsi="Arial"/>
          <w:color w:val="2D3748"/>
          <w:sz w:val="22"/>
        </w:rPr>
        <w:t>La iniciativa de reforma se ejerce en los mismos términos previstos en los apartados 1 y 2 del artículo 87 para la iniciativa legislativa ordinaria.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Titulares de la iniciativa: Gobierno (mediante proyecto de reforma), Congreso de los Diputados y Senado (mediante proposición de reforma según sus Reglamentos), y las Asambleas de las Comunidades Autónomas.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Exclusión expresa: Queda prohibida la iniciativa legislativa popular para la reforma constitucional (el art. 166 no remite al art. 87.3 CE).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Límite temporal absoluto (Art. 169 CE): No podrá iniciarse la reforma constitucional en tiempo de guerra o bajo la vigencia de alguno de los estados previstos en el artículo 116 (alarma, excepción y sitio).</w:t>
      </w:r>
    </w:p>
    <w:p>
      <w:pPr>
        <w:spacing w:before="120" w:after="160" w:line="276" w:lineRule="auto"/>
        <w:ind w:left="504"/>
        <w:pBdr>
          <w:left w:val="single" w:sz="24" w:space="12" w:color="2B6CB0"/>
        </w:pBdr>
      </w:pPr>
      <w:r>
        <w:rPr>
          <w:rFonts w:ascii="Arial" w:hAnsi="Arial"/>
          <w:b/>
          <w:color w:val="2B6CB0"/>
          <w:sz w:val="21"/>
        </w:rPr>
        <w:t xml:space="preserve">Atención Opositor: </w:t>
      </w:r>
      <w:r>
        <w:rPr>
          <w:rFonts w:ascii="Arial" w:hAnsi="Arial"/>
          <w:i/>
          <w:color w:val="2D3748"/>
          <w:sz w:val="21"/>
        </w:rPr>
        <w:t>El artículo 169 prohíbe el inicio de la reforma, pero la doctrina mayoritaria entiende que no impide la continuación de un procedimiento ya iniciado con anterioridad a la declaración del estado excepcional.</w:t>
      </w:r>
    </w:p>
    <w:p>
      <w:pPr>
        <w:spacing w:before="200" w:after="80" w:line="288" w:lineRule="auto"/>
      </w:pPr>
      <w:r>
        <w:rPr>
          <w:rFonts w:ascii="Arial" w:hAnsi="Arial"/>
          <w:b/>
          <w:color w:val="2B6CB0"/>
          <w:sz w:val="24"/>
        </w:rPr>
        <w:t>Procedimientos de reforma: Ordinario (Art. 167) y Agravado (Art. 168)</w:t>
      </w:r>
    </w:p>
    <w:p>
      <w:pPr>
        <w:spacing w:before="0" w:after="100" w:line="288" w:lineRule="auto"/>
      </w:pPr>
      <w:r>
        <w:rPr>
          <w:rFonts w:ascii="Arial" w:hAnsi="Arial"/>
          <w:color w:val="2D3748"/>
          <w:sz w:val="22"/>
        </w:rPr>
        <w:t>La Constitución contempla dos vías de reforma en función de la materia afectada: el procedimiento ordinario y el procedimiento agravado o de revisión cualificada.</w:t>
      </w:r>
    </w:p>
    <w:p>
      <w:pPr>
        <w:spacing w:before="0" w:after="100" w:line="288" w:lineRule="auto"/>
      </w:pPr>
      <w:r>
        <w:rPr>
          <w:rFonts w:ascii="Arial" w:hAnsi="Arial"/>
          <w:color w:val="2D3748"/>
          <w:sz w:val="22"/>
        </w:rPr>
        <w:t>La rigidez constitucional se manifiesta en la exigencia de mayorías cualificadas y la obligatoriedad o facultad de someter el texto aprobado a referéndum popular.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Vía ordinaria (Art. 167): Mayoría de 3/5 en Congreso y Senado; Comisión Mixta paritaria ante desacuerdo; aprobación alternativa con mayoría absoluta en Senado y 2/3 en Congreso.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Referéndum ordinario: Facultativo; se convoca si lo solicita una décima parte (1/10) de los miembros de cualquiera de las Cámaras dentro de los 15 días siguientes a la aprobación definitiva.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Vía agravada (Art. 168): Exigible para revisión total o reforma parcial que afecte al Título preliminar, a la Sección 1ª del Capítulo II del Título I (arts. 15 a 29), o al Título II (La Corona).</w:t>
      </w:r>
    </w:p>
    <w:p>
      <w:pPr>
        <w:pStyle w:val="ListBullet"/>
        <w:spacing w:before="20" w:after="60" w:line="276" w:lineRule="auto"/>
      </w:pPr>
      <w:r>
        <w:rPr>
          <w:rFonts w:ascii="Arial" w:hAnsi="Arial"/>
          <w:color w:val="2D3748"/>
          <w:sz w:val="22"/>
        </w:rPr>
        <w:t>Fases del procedimiento agravado: Aprobación del principio de reforma por mayoría de 2/3 de cada Cámara; disolución inmediata de las Cortes; ratificación por las nuevas Cámaras y estudio del texto; aprobación final por mayoría de 2/3 de ambas Cámaras; referéndum preceptivo y vinculante.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CBD5E0"/>
          <w:left w:val="none"/>
          <w:bottom w:val="single" w:sz="8" w:space="0" w:color="CBD5E0"/>
          <w:right w:val="none"/>
          <w:insideH w:val="single" w:sz="4" w:space="0" w:color="CBD5E0"/>
          <w:insideV w:val="none"/>
        </w:tblBorders>
      </w:tblPr>
      <w:tblGrid>
        <w:gridCol w:w="3120"/>
        <w:gridCol w:w="3120"/>
        <w:gridCol w:w="3120"/>
      </w:tblGrid>
      <w:tr>
        <w:tc>
          <w:tcPr>
            <w:tcW w:type="dxa" w:w="3120"/>
            <w:shd w:fill="1A365D"/>
          </w:tcPr>
          <w:p>
            <w:pPr>
              <w:spacing w:before="80" w:after="80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Criterio</w:t>
            </w:r>
          </w:p>
        </w:tc>
        <w:tc>
          <w:tcPr>
            <w:tcW w:type="dxa" w:w="3120"/>
            <w:shd w:fill="1A365D"/>
          </w:tcPr>
          <w:p>
            <w:pPr>
              <w:spacing w:before="80" w:after="80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Procedimiento Ordinario (Art. 167)</w:t>
            </w:r>
          </w:p>
        </w:tc>
        <w:tc>
          <w:tcPr>
            <w:tcW w:type="dxa" w:w="3120"/>
            <w:shd w:fill="1A365D"/>
          </w:tcPr>
          <w:p>
            <w:pPr>
              <w:spacing w:before="80" w:after="80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Procedimiento Agravado (Art. 168)</w:t>
            </w:r>
          </w:p>
        </w:tc>
      </w:tr>
      <w:tr>
        <w:tc>
          <w:tcPr>
            <w:tcW w:type="dxa" w:w="312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Ámbito material</w:t>
            </w:r>
          </w:p>
        </w:tc>
        <w:tc>
          <w:tcPr>
            <w:tcW w:type="dxa" w:w="312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Cualquier parte de la CE que no esté reservada al procedimiento agravado</w:t>
            </w:r>
          </w:p>
        </w:tc>
        <w:tc>
          <w:tcPr>
            <w:tcW w:type="dxa" w:w="312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Revisión total o parcial que afecte a: Título Preliminar, Cap. II Sec. 1ª Título I (arts. 15-29) o Título II</w:t>
            </w:r>
          </w:p>
        </w:tc>
      </w:tr>
      <w:tr>
        <w:tc>
          <w:tcPr>
            <w:tcW w:type="dxa" w:w="312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Mayoría parlamentaria inicial</w:t>
            </w:r>
          </w:p>
        </w:tc>
        <w:tc>
          <w:tcPr>
            <w:tcW w:type="dxa" w:w="312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3/5 de cada Cámara (o fórmula de 2/3 Congreso + Mayoría Absoluta Senado)</w:t>
            </w:r>
          </w:p>
        </w:tc>
        <w:tc>
          <w:tcPr>
            <w:tcW w:type="dxa" w:w="312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2/3 de cada Cámara para aprobar el principio de revisión</w:t>
            </w:r>
          </w:p>
        </w:tc>
      </w:tr>
      <w:tr>
        <w:tc>
          <w:tcPr>
            <w:tcW w:type="dxa" w:w="312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Efecto sobre las Cortes</w:t>
            </w:r>
          </w:p>
        </w:tc>
        <w:tc>
          <w:tcPr>
            <w:tcW w:type="dxa" w:w="312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No se disuelven las Cortes Generales</w:t>
            </w:r>
          </w:p>
        </w:tc>
        <w:tc>
          <w:tcPr>
            <w:tcW w:type="dxa" w:w="312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Disolución inmediata de las Cortes y convocatoria de elecciones generales</w:t>
            </w:r>
          </w:p>
        </w:tc>
      </w:tr>
      <w:tr>
        <w:tc>
          <w:tcPr>
            <w:tcW w:type="dxa" w:w="312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Aprobación por nuevas Cámaras</w:t>
            </w:r>
          </w:p>
        </w:tc>
        <w:tc>
          <w:tcPr>
            <w:tcW w:type="dxa" w:w="312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No aplicable</w:t>
            </w:r>
          </w:p>
        </w:tc>
        <w:tc>
          <w:tcPr>
            <w:tcW w:type="dxa" w:w="312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Ratificación de la decisión y aprobación del nuevo texto por 2/3 de ambas Cámaras</w:t>
            </w:r>
          </w:p>
        </w:tc>
      </w:tr>
      <w:tr>
        <w:tc>
          <w:tcPr>
            <w:tcW w:type="dxa" w:w="312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Referéndum</w:t>
            </w:r>
          </w:p>
        </w:tc>
        <w:tc>
          <w:tcPr>
            <w:tcW w:type="dxa" w:w="312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Facultativo: solo si lo pide 1/10 de miembros de cualquier Cámara en 15 días</w:t>
            </w:r>
          </w:p>
        </w:tc>
        <w:tc>
          <w:tcPr>
            <w:tcW w:type="dxa" w:w="312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Preceptivo y vinculante en todos los casos</w:t>
            </w:r>
          </w:p>
        </w:tc>
      </w:tr>
    </w:tbl>
    <w:p>
      <w:pPr>
        <w:spacing w:after="120"/>
      </w:pPr>
    </w:p>
    <w:p>
      <w:pPr>
        <w:spacing w:before="120" w:after="160" w:line="276" w:lineRule="auto"/>
        <w:ind w:left="504"/>
        <w:pBdr>
          <w:left w:val="single" w:sz="24" w:space="12" w:color="2B6CB0"/>
        </w:pBdr>
      </w:pPr>
      <w:r>
        <w:rPr>
          <w:rFonts w:ascii="Arial" w:hAnsi="Arial"/>
          <w:b/>
          <w:color w:val="2B6CB0"/>
          <w:sz w:val="21"/>
        </w:rPr>
        <w:t xml:space="preserve">Atención Opositor: </w:t>
      </w:r>
      <w:r>
        <w:rPr>
          <w:rFonts w:ascii="Arial" w:hAnsi="Arial"/>
          <w:i/>
          <w:color w:val="2D3748"/>
          <w:sz w:val="21"/>
        </w:rPr>
        <w:t>El artículo 14 CE (igualdad) y el artículo 30 CE quedan fuera de la Sección 1ª del Capítulo II del Título I, por lo que su reforma se tramita por el procedimiento ordinario del art. 167.</w:t>
      </w:r>
    </w:p>
    <w:p>
      <w:pPr>
        <w:spacing w:before="320" w:after="120" w:line="288" w:lineRule="auto"/>
      </w:pPr>
      <w:r>
        <w:rPr>
          <w:rFonts w:ascii="Arial" w:hAnsi="Arial"/>
          <w:b/>
          <w:color w:val="1A365D"/>
          <w:sz w:val="28"/>
        </w:rPr>
        <w:t>8. Claves para el Examen</w:t>
      </w:r>
    </w:p>
    <w:p>
      <w:pPr>
        <w:spacing w:before="0" w:after="160" w:line="288" w:lineRule="auto"/>
      </w:pPr>
      <w:r>
        <w:rPr>
          <w:rFonts w:ascii="Arial" w:hAnsi="Arial"/>
          <w:i/>
          <w:color w:val="2D3748"/>
          <w:sz w:val="22"/>
        </w:rPr>
        <w:t>Análisis sistemático de trampas semánticas, plazos críticos y distinciones determinantes para las pruebas de selección:</w:t>
      </w:r>
    </w:p>
    <w:p>
      <w:pPr>
        <w:spacing w:before="160" w:after="60" w:line="288" w:lineRule="auto"/>
      </w:pPr>
      <w:r>
        <w:rPr>
          <w:rFonts w:ascii="Arial" w:hAnsi="Arial"/>
          <w:b/>
          <w:color w:val="2C5282"/>
          <w:sz w:val="23"/>
        </w:rPr>
        <w:t>Trampas habituales de los tribunales</w:t>
      </w:r>
    </w:p>
    <w:p>
      <w:pPr>
        <w:pStyle w:val="ListBullet"/>
        <w:spacing w:before="20" w:after="60" w:line="288" w:lineRule="auto"/>
      </w:pPr>
      <w:r>
        <w:rPr>
          <w:rFonts w:ascii="Arial" w:hAnsi="Arial"/>
          <w:color w:val="2D3748"/>
          <w:sz w:val="22"/>
        </w:rPr>
        <w:t>Iniciativa popular en reforma constitucional: El tribunal suele incluir a los ciudadanos mediante firmas; está expresamente excluida en el art. 166 (no remite al 87.3).</w:t>
      </w:r>
    </w:p>
    <w:p>
      <w:pPr>
        <w:pStyle w:val="ListBullet"/>
        <w:spacing w:before="20" w:after="60" w:line="288" w:lineRule="auto"/>
      </w:pPr>
      <w:r>
        <w:rPr>
          <w:rFonts w:ascii="Arial" w:hAnsi="Arial"/>
          <w:color w:val="2D3748"/>
          <w:sz w:val="22"/>
        </w:rPr>
        <w:t>Renovación del Tribunal Constitucional: Afirmar que se renueva cada 9 años por completo; la trampa se evita recordando que el mandato es de 9 años pero se renueva por terceras partes (4 miembros) cada 3 años.</w:t>
      </w:r>
    </w:p>
    <w:p>
      <w:pPr>
        <w:pStyle w:val="ListBullet"/>
        <w:spacing w:before="20" w:after="60" w:line="288" w:lineRule="auto"/>
      </w:pPr>
      <w:r>
        <w:rPr>
          <w:rFonts w:ascii="Arial" w:hAnsi="Arial"/>
          <w:color w:val="2D3748"/>
          <w:sz w:val="22"/>
        </w:rPr>
        <w:t>Duración del mandato del Defensor del Pueblo vs TC: El Defensor del Pueblo dura 5 años (reelegible); los magistrados del TC duran 9 años (no reelegibles de forma continuada); el Presidente del TC dura 3 años (reelegible una vez).</w:t>
      </w:r>
    </w:p>
    <w:p>
      <w:pPr>
        <w:pStyle w:val="ListBullet"/>
        <w:spacing w:before="20" w:after="60" w:line="288" w:lineRule="auto"/>
      </w:pPr>
      <w:r>
        <w:rPr>
          <w:rFonts w:ascii="Arial" w:hAnsi="Arial"/>
          <w:color w:val="2D3748"/>
          <w:sz w:val="22"/>
        </w:rPr>
        <w:t>Referéndum en el artículo 167 vs 168: Presentar el referéndum del artículo 167 como preceptivo; es estrictamente facultativo (a petición de 1/10 de Diputados o Senadores), mientras que en el 168 es preceptivo y vinculante.</w:t>
      </w:r>
    </w:p>
    <w:p>
      <w:pPr>
        <w:pStyle w:val="ListBullet"/>
        <w:spacing w:before="20" w:after="60" w:line="288" w:lineRule="auto"/>
      </w:pPr>
      <w:r>
        <w:rPr>
          <w:rFonts w:ascii="Arial" w:hAnsi="Arial"/>
          <w:color w:val="2D3748"/>
          <w:sz w:val="22"/>
        </w:rPr>
        <w:t>Reforma del artículo 14: Intentar encuadrar el derecho a la igualdad (art. 14) en el procedimiento agravado del art. 168; únicamente exige art. 168 la Sección 1ª (arts. 15 al 29).</w:t>
      </w:r>
    </w:p>
    <w:p>
      <w:pPr>
        <w:spacing w:before="160" w:after="60" w:line="288" w:lineRule="auto"/>
      </w:pPr>
      <w:r>
        <w:rPr>
          <w:rFonts w:ascii="Arial" w:hAnsi="Arial"/>
          <w:b/>
          <w:color w:val="2C5282"/>
          <w:sz w:val="23"/>
        </w:rPr>
        <w:t>Plazos críticos de obligada memorización</w:t>
      </w:r>
    </w:p>
    <w:p>
      <w:pPr>
        <w:pStyle w:val="ListBullet"/>
        <w:spacing w:before="20" w:after="60" w:line="288" w:lineRule="auto"/>
      </w:pPr>
      <w:r>
        <w:rPr>
          <w:rFonts w:ascii="Arial" w:hAnsi="Arial"/>
          <w:color w:val="2D3748"/>
          <w:sz w:val="22"/>
        </w:rPr>
        <w:t>15 días naturales: Plazo para solicitar la celebración de referéndum facultativo tras la aprobación de la reforma por el art. 167 CE por 1/10 de cualquier Cámara.</w:t>
      </w:r>
    </w:p>
    <w:p>
      <w:pPr>
        <w:pStyle w:val="ListBullet"/>
        <w:spacing w:before="20" w:after="60" w:line="288" w:lineRule="auto"/>
      </w:pPr>
      <w:r>
        <w:rPr>
          <w:rFonts w:ascii="Arial" w:hAnsi="Arial"/>
          <w:color w:val="2D3748"/>
          <w:sz w:val="22"/>
        </w:rPr>
        <w:t>3 meses: Plazo general ordinario para interponer recurso de inconstitucionalidad desde la publicación oficial de la norma.</w:t>
      </w:r>
    </w:p>
    <w:p>
      <w:pPr>
        <w:pStyle w:val="ListBullet"/>
        <w:spacing w:before="20" w:after="60" w:line="288" w:lineRule="auto"/>
      </w:pPr>
      <w:r>
        <w:rPr>
          <w:rFonts w:ascii="Arial" w:hAnsi="Arial"/>
          <w:color w:val="2D3748"/>
          <w:sz w:val="22"/>
        </w:rPr>
        <w:t>9 meses: Plazo ampliado del recurso de inconstitucionalidad si se activa la Comisión Bilateral de Cooperación Estado-CCAA (art. 33.2 LOTC).</w:t>
      </w:r>
    </w:p>
    <w:p>
      <w:pPr>
        <w:pStyle w:val="ListBullet"/>
        <w:spacing w:before="20" w:after="60" w:line="288" w:lineRule="auto"/>
      </w:pPr>
      <w:r>
        <w:rPr>
          <w:rFonts w:ascii="Arial" w:hAnsi="Arial"/>
          <w:color w:val="2D3748"/>
          <w:sz w:val="22"/>
        </w:rPr>
        <w:t>5 años: Período de mandato legal del Defensor del Pueblo.</w:t>
      </w:r>
    </w:p>
    <w:p>
      <w:pPr>
        <w:pStyle w:val="ListBullet"/>
        <w:spacing w:before="20" w:after="60" w:line="288" w:lineRule="auto"/>
      </w:pPr>
      <w:r>
        <w:rPr>
          <w:rFonts w:ascii="Arial" w:hAnsi="Arial"/>
          <w:color w:val="2D3748"/>
          <w:sz w:val="22"/>
        </w:rPr>
        <w:t>9 años: Período de mandato de los magistrados del Tribunal Constitucional.</w:t>
      </w:r>
    </w:p>
    <w:p>
      <w:pPr>
        <w:pStyle w:val="ListBullet"/>
        <w:spacing w:before="20" w:after="60" w:line="288" w:lineRule="auto"/>
      </w:pPr>
      <w:r>
        <w:rPr>
          <w:rFonts w:ascii="Arial" w:hAnsi="Arial"/>
          <w:color w:val="2D3748"/>
          <w:sz w:val="22"/>
        </w:rPr>
        <w:t>15 años: Antigüedad profesional exigida a juristas para ser designados miembros del Tribunal Constitucional.</w:t>
      </w:r>
    </w:p>
    <w:p>
      <w:pPr>
        <w:spacing w:before="160" w:after="60" w:line="288" w:lineRule="auto"/>
      </w:pPr>
      <w:r>
        <w:rPr>
          <w:rFonts w:ascii="Arial" w:hAnsi="Arial"/>
          <w:b/>
          <w:color w:val="2C5282"/>
          <w:sz w:val="23"/>
        </w:rPr>
        <w:t>Artículos clave y preguntas frecuentes</w:t>
      </w:r>
    </w:p>
    <w:p>
      <w:pPr>
        <w:pStyle w:val="ListBullet"/>
        <w:spacing w:before="20" w:after="60" w:line="288" w:lineRule="auto"/>
      </w:pPr>
      <w:r>
        <w:rPr>
          <w:rFonts w:ascii="Arial" w:hAnsi="Arial"/>
          <w:color w:val="2D3748"/>
          <w:sz w:val="22"/>
        </w:rPr>
        <w:t>Art. 54 CE: Naturaleza del Defensor del Pueblo como alto comisionado de las Cortes Generales y objeto de supervisión de la Administración.</w:t>
      </w:r>
    </w:p>
    <w:p>
      <w:pPr>
        <w:pStyle w:val="ListBullet"/>
        <w:spacing w:before="20" w:after="60" w:line="288" w:lineRule="auto"/>
      </w:pPr>
      <w:r>
        <w:rPr>
          <w:rFonts w:ascii="Arial" w:hAnsi="Arial"/>
          <w:color w:val="2D3748"/>
          <w:sz w:val="22"/>
        </w:rPr>
        <w:t>Art. 159 CE: Composición del Tribunal Constitucional, sistema de propuestas (4 Congreso, 4 Senado, 2 Gobierno, 2 CGPJ) y duración del mandato.</w:t>
      </w:r>
    </w:p>
    <w:p>
      <w:pPr>
        <w:pStyle w:val="ListBullet"/>
        <w:spacing w:before="20" w:after="60" w:line="288" w:lineRule="auto"/>
      </w:pPr>
      <w:r>
        <w:rPr>
          <w:rFonts w:ascii="Arial" w:hAnsi="Arial"/>
          <w:color w:val="2D3748"/>
          <w:sz w:val="22"/>
        </w:rPr>
        <w:t>Art. 161.1 a) y b) CE: Competencias sobre declaración de inconstitucionalidad y recurso de amparo.</w:t>
      </w:r>
    </w:p>
    <w:p>
      <w:pPr>
        <w:pStyle w:val="ListBullet"/>
        <w:spacing w:before="20" w:after="60" w:line="288" w:lineRule="auto"/>
      </w:pPr>
      <w:r>
        <w:rPr>
          <w:rFonts w:ascii="Arial" w:hAnsi="Arial"/>
          <w:color w:val="2D3748"/>
          <w:sz w:val="22"/>
        </w:rPr>
        <w:t>Art. 162 CE: Legitimación activa diferenciada para recurso de inconstitucionalidad y recurso de amparo.</w:t>
      </w:r>
    </w:p>
    <w:p>
      <w:pPr>
        <w:pStyle w:val="ListBullet"/>
        <w:spacing w:before="20" w:after="60" w:line="288" w:lineRule="auto"/>
      </w:pPr>
      <w:r>
        <w:rPr>
          <w:rFonts w:ascii="Arial" w:hAnsi="Arial"/>
          <w:color w:val="2D3748"/>
          <w:sz w:val="22"/>
        </w:rPr>
        <w:t>Art. 167 CE: Reglas de mayorías del procedimiento ordinario de reforma y umbral de 1/10 para referéndum facultativo.</w:t>
      </w:r>
    </w:p>
    <w:p>
      <w:pPr>
        <w:pStyle w:val="ListBullet"/>
        <w:spacing w:before="20" w:after="60" w:line="288" w:lineRule="auto"/>
      </w:pPr>
      <w:r>
        <w:rPr>
          <w:rFonts w:ascii="Arial" w:hAnsi="Arial"/>
          <w:color w:val="2D3748"/>
          <w:sz w:val="22"/>
        </w:rPr>
        <w:t>Art. 168 CE: Materias blindadas que exigen el procedimiento agravado y secuencia disolutiva/referendataria.</w:t>
      </w:r>
    </w:p>
    <w:p>
      <w:pPr>
        <w:pStyle w:val="ListBullet"/>
        <w:spacing w:before="20" w:after="60" w:line="288" w:lineRule="auto"/>
      </w:pPr>
      <w:r>
        <w:rPr>
          <w:rFonts w:ascii="Arial" w:hAnsi="Arial"/>
          <w:color w:val="2D3748"/>
          <w:sz w:val="22"/>
        </w:rPr>
        <w:t>Art. 169 CE: Prohibición de inicio de reforma constitucional en tiempo de guerra o vigencia del art. 116 CE.</w:t>
      </w:r>
    </w:p>
    <w:p>
      <w:pPr>
        <w:spacing w:before="160" w:after="60" w:line="288" w:lineRule="auto"/>
      </w:pPr>
      <w:r>
        <w:rPr>
          <w:rFonts w:ascii="Arial" w:hAnsi="Arial"/>
          <w:b/>
          <w:color w:val="2C5282"/>
          <w:sz w:val="23"/>
        </w:rPr>
        <w:t>Distinciones conceptuales finas</w:t>
      </w:r>
    </w:p>
    <w:p>
      <w:pPr>
        <w:pStyle w:val="ListBullet"/>
        <w:spacing w:before="20" w:after="60" w:line="288" w:lineRule="auto"/>
      </w:pPr>
      <w:r>
        <w:rPr>
          <w:rFonts w:ascii="Arial" w:hAnsi="Arial"/>
          <w:color w:val="2D3748"/>
          <w:sz w:val="22"/>
        </w:rPr>
        <w:t>Recurso de Inconstitucionalidad vs Cuestión de Inconstitucionalidad: El recurso depura la ley de forma abstracta por órganos políticos/institucionales legitimados en un plazo tasado; la cuestión es un mecanismo incidental y prejudicial que solo promueven jueces y tribunales sin límite temporal mientras el proceso esté pendiente de fallo.</w:t>
      </w:r>
    </w:p>
    <w:p>
      <w:pPr>
        <w:pStyle w:val="ListBullet"/>
        <w:spacing w:before="20" w:after="60" w:line="288" w:lineRule="auto"/>
      </w:pPr>
      <w:r>
        <w:rPr>
          <w:rFonts w:ascii="Arial" w:hAnsi="Arial"/>
          <w:color w:val="2D3748"/>
          <w:sz w:val="22"/>
        </w:rPr>
        <w:t>Defensor del Pueblo vs Ministerio Fiscal: Ambos defienden derechos fundamentales y están legitimados para el amparo, pero el Defensor del Pueblo supervisa administrativamente sin poder sancionador ni anulatorio, mientras que el Fiscal integra el Poder Judicial funcionalmente y ejerce acciones penales y tutela de la legalidad ante los tribunales.</w:t>
      </w:r>
    </w:p>
    <w:p>
      <w:pPr>
        <w:pStyle w:val="ListBullet"/>
        <w:spacing w:before="20" w:after="60" w:line="288" w:lineRule="auto"/>
      </w:pPr>
      <w:r>
        <w:rPr>
          <w:rFonts w:ascii="Arial" w:hAnsi="Arial"/>
          <w:color w:val="2D3748"/>
          <w:sz w:val="22"/>
        </w:rPr>
        <w:t>Inadmisibilidad de reforma constitucional: No existen cláusulas de intangibilidad en la CE (todo se puede reformar, incluso la monarquía o la unidad nacional), pero existen límites formales de procedimiento (art. 167/168) y temporales (art. 169).</w:t>
      </w:r>
    </w:p>
    <w:p>
      <w:pPr>
        <w:spacing w:before="320" w:after="160" w:line="288" w:lineRule="auto"/>
      </w:pPr>
      <w:r>
        <w:rPr>
          <w:rFonts w:ascii="Arial" w:hAnsi="Arial"/>
          <w:b/>
          <w:color w:val="1A365D"/>
          <w:sz w:val="28"/>
        </w:rPr>
        <w:t>9. Cuadro Resumen Esquemático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CBD5E0"/>
          <w:left w:val="none"/>
          <w:bottom w:val="single" w:sz="8" w:space="0" w:color="CBD5E0"/>
          <w:right w:val="none"/>
          <w:insideH w:val="single" w:sz="4" w:space="0" w:color="CBD5E0"/>
          <w:insideV w:val="none"/>
        </w:tblBorders>
      </w:tblPr>
      <w:tblGrid>
        <w:gridCol w:w="2340"/>
        <w:gridCol w:w="2340"/>
        <w:gridCol w:w="2340"/>
        <w:gridCol w:w="2340"/>
      </w:tblGrid>
      <w:tr>
        <w:tc>
          <w:tcPr>
            <w:tcW w:type="dxa" w:w="2340"/>
            <w:shd w:fill="1A365D"/>
          </w:tcPr>
          <w:p>
            <w:pPr>
              <w:spacing w:before="80" w:after="80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Concepto / Epígrafe</w:t>
            </w:r>
          </w:p>
        </w:tc>
        <w:tc>
          <w:tcPr>
            <w:tcW w:type="dxa" w:w="2340"/>
            <w:shd w:fill="1A365D"/>
          </w:tcPr>
          <w:p>
            <w:pPr>
              <w:spacing w:before="80" w:after="80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Fundamento Legal (Art. y Ley)</w:t>
            </w:r>
          </w:p>
        </w:tc>
        <w:tc>
          <w:tcPr>
            <w:tcW w:type="dxa" w:w="2340"/>
            <w:shd w:fill="1A365D"/>
          </w:tcPr>
          <w:p>
            <w:pPr>
              <w:spacing w:before="80" w:after="80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Elementos Clave / Plazos / Mayorías</w:t>
            </w:r>
          </w:p>
        </w:tc>
        <w:tc>
          <w:tcPr>
            <w:tcW w:type="dxa" w:w="2340"/>
            <w:shd w:fill="1A365D"/>
          </w:tcPr>
          <w:p>
            <w:pPr>
              <w:spacing w:before="80" w:after="80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Clave para Examen</w:t>
            </w:r>
          </w:p>
        </w:tc>
      </w:tr>
      <w:tr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Estructura y Valores de la CE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Arts. 1, 2 y estructura CE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169 arts., 11 títulos (Preliminar + 10), 4 Disp. Adicionales, 9 Transitorias, 1 Derogatoria, 1 Final. Valores: libertad, justicia, igualdad, pluralismo político.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Preámbulo carece de fuerza jurídica pero tiene valor interpretativo. Soberanía reside en el pueblo español.</w:t>
            </w:r>
          </w:p>
        </w:tc>
      </w:tr>
      <w:tr>
        <w:tc>
          <w:tcPr>
            <w:tcW w:type="dxa" w:w="234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Garantías de Derechos Fundamentales</w:t>
            </w:r>
          </w:p>
        </w:tc>
        <w:tc>
          <w:tcPr>
            <w:tcW w:type="dxa" w:w="234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Art. 53 CE</w:t>
            </w:r>
          </w:p>
        </w:tc>
        <w:tc>
          <w:tcPr>
            <w:tcW w:type="dxa" w:w="234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Nivel máximo (arts. 14 a 29 y 30.2): procedimiento preferente y sumario ordinario + amparo TC. Reserva de LO (15-29).</w:t>
            </w:r>
          </w:p>
        </w:tc>
        <w:tc>
          <w:tcPr>
            <w:tcW w:type="dxa" w:w="234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El art. 14 y 30.2 tienen amparo constitucional pero no exigen Ley Orgánica para su desarrollo.</w:t>
            </w:r>
          </w:p>
        </w:tc>
      </w:tr>
      <w:tr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Suspensión de Derechos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Art. 55 CE y LO 4/1981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Suspensión colectiva en estados de excepción y sitio (arts. 17, 18.2, 18.3, 19, 20, 21, 28.2 y 37.2). En alarma no se suspenden derechos, solo se limitan.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El derecho a la asistencia letrada al detenido (art. 17.3) nunca puede suspenderse en el estado de excepción.</w:t>
            </w:r>
          </w:p>
        </w:tc>
      </w:tr>
      <w:tr>
        <w:tc>
          <w:tcPr>
            <w:tcW w:type="dxa" w:w="234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Composición del Tribunal Constitucional</w:t>
            </w:r>
          </w:p>
        </w:tc>
        <w:tc>
          <w:tcPr>
            <w:tcW w:type="dxa" w:w="234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Art. 159 CE y LO 2/1979</w:t>
            </w:r>
          </w:p>
        </w:tc>
        <w:tc>
          <w:tcPr>
            <w:tcW w:type="dxa" w:w="234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12 miembros nombrados por el Rey: 4 Congreso (3/5), 4 Senado (3/5), 2 Gobierno, 2 CGPJ. Mandato 9 años, renovación por tercios cada 3 años.</w:t>
            </w:r>
          </w:p>
        </w:tc>
        <w:tc>
          <w:tcPr>
            <w:tcW w:type="dxa" w:w="234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El Presidente lo propone el Pleno y es nombrado por el Rey por 3 años (reelegible una vez). Exige 15 años de ejercicio.</w:t>
            </w:r>
          </w:p>
        </w:tc>
      </w:tr>
      <w:tr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Defensor del Pueblo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Art. 54 CE y LO 3/1981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Alto comisionado de las Cortes. Elección por 3/5 de Congreso y Senado por un mandato de 5 años. Inviolabilidad e inmunidad.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No tiene facultad sancionadora ni ejecutiva; no suspende su actuación en estados de alarma, excepción o sitio.</w:t>
            </w:r>
          </w:p>
        </w:tc>
      </w:tr>
      <w:tr>
        <w:tc>
          <w:tcPr>
            <w:tcW w:type="dxa" w:w="234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Reforma Constitucional Ordinaria</w:t>
            </w:r>
          </w:p>
        </w:tc>
        <w:tc>
          <w:tcPr>
            <w:tcW w:type="dxa" w:w="234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Art. 167 CE</w:t>
            </w:r>
          </w:p>
        </w:tc>
        <w:tc>
          <w:tcPr>
            <w:tcW w:type="dxa" w:w="234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Aprobación por 3/5 de cada Cámara. Si hay discrepancia, Comisión Mixta. Alternativa: mayoría absoluta Senado y 2/3 Congreso. Referéndum facultativo (1/10 miembros en 15 días).</w:t>
            </w:r>
          </w:p>
        </w:tc>
        <w:tc>
          <w:tcPr>
            <w:tcW w:type="dxa" w:w="2340"/>
            <w:shd w:fill="F7FAFC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No requiere disolución de Cortes ni referéndum preceptivo. Se aplica al art. 14 y a los Títulos III, IV, V, VI, VII, VIII y IX.</w:t>
            </w:r>
          </w:p>
        </w:tc>
      </w:tr>
      <w:tr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Reforma Constitucional Agravada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Art. 168 CE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Afecta a Título Preliminar, Sección 1ª Cap. II Título I (arts. 15-29) o Título II. Mayoría de 2/3, disolución inmediata de Cortes, ratificación, aprobación final por 2/3 y referéndum obligatorio.</w:t>
            </w:r>
          </w:p>
        </w:tc>
        <w:tc>
          <w:tcPr>
            <w:tcW w:type="dxa" w:w="2340"/>
          </w:tcPr>
          <w:p>
            <w:pPr>
              <w:spacing w:before="60" w:after="60" w:line="276" w:lineRule="auto"/>
            </w:pPr>
            <w:r>
              <w:rPr>
                <w:rFonts w:ascii="Arial" w:hAnsi="Arial"/>
                <w:color w:val="2D3748"/>
                <w:sz w:val="19"/>
              </w:rPr>
              <w:t>Es el procedimiento de máxima rigidez. El referéndum es siempre preceptivo y vinculante. No cabe iniciativa popular.</w:t>
            </w:r>
          </w:p>
        </w:tc>
      </w:tr>
    </w:tbl>
    <w:p>
      <w:pPr>
        <w:spacing w:after="120"/>
      </w:pP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2D3748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